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C1F0" w14:textId="3AAC7E41" w:rsidR="00DD643B" w:rsidRDefault="00973528" w:rsidP="00C06786">
      <w:pPr>
        <w:pStyle w:val="ListParagraph"/>
      </w:pPr>
    </w:p>
    <w:p w14:paraId="41C0EB8A" w14:textId="77777777" w:rsidR="00E15A79" w:rsidRDefault="00E15A79" w:rsidP="00C06786">
      <w:pPr>
        <w:pStyle w:val="ListParagraph"/>
      </w:pPr>
    </w:p>
    <w:p w14:paraId="507C117F" w14:textId="77777777" w:rsidR="00E15A79" w:rsidRDefault="00E15A79" w:rsidP="00C06786">
      <w:pPr>
        <w:pStyle w:val="ListParagraph"/>
      </w:pPr>
    </w:p>
    <w:p w14:paraId="286E7227" w14:textId="77777777" w:rsidR="00E15A79" w:rsidRDefault="00E15A79" w:rsidP="00C06786">
      <w:pPr>
        <w:pStyle w:val="ListParagraph"/>
      </w:pPr>
    </w:p>
    <w:p w14:paraId="0A3737AB" w14:textId="77777777" w:rsidR="00E15A79" w:rsidRDefault="00E15A79" w:rsidP="00C06786">
      <w:pPr>
        <w:pStyle w:val="ListParagraph"/>
      </w:pPr>
    </w:p>
    <w:p w14:paraId="77F5B0AB" w14:textId="77777777" w:rsidR="00E15A79" w:rsidRDefault="00E15A79" w:rsidP="00C06786">
      <w:pPr>
        <w:pStyle w:val="ListParagraph"/>
      </w:pPr>
    </w:p>
    <w:p w14:paraId="067443FB" w14:textId="035F3EB7" w:rsidR="00C06786" w:rsidRDefault="00C06786" w:rsidP="00C06786">
      <w:pPr>
        <w:pStyle w:val="ListParagraph"/>
      </w:pPr>
      <w:r>
        <w:t>Chigwell Row Infant School – Sports Premium Grant Summary for 2021/2021</w:t>
      </w:r>
      <w:r w:rsidR="00E15A79" w:rsidRPr="00E15A79">
        <w:drawing>
          <wp:inline distT="0" distB="0" distL="0" distR="0" wp14:anchorId="11D36C07" wp14:editId="76E3F233">
            <wp:extent cx="1778717" cy="1778717"/>
            <wp:effectExtent l="0" t="0" r="0" b="0"/>
            <wp:docPr id="5" name="Picture 4" descr="A picture containing text, clipart&#10;&#10;Description automatically generated">
              <a:extLst xmlns:a="http://schemas.openxmlformats.org/drawingml/2006/main">
                <a:ext uri="{FF2B5EF4-FFF2-40B4-BE49-F238E27FC236}">
                  <a16:creationId xmlns:a16="http://schemas.microsoft.com/office/drawing/2014/main" id="{4994D2DD-C590-4F14-962B-F847523E44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clipart&#10;&#10;Description automatically generated">
                      <a:extLst>
                        <a:ext uri="{FF2B5EF4-FFF2-40B4-BE49-F238E27FC236}">
                          <a16:creationId xmlns:a16="http://schemas.microsoft.com/office/drawing/2014/main" id="{4994D2DD-C590-4F14-962B-F847523E44FC}"/>
                        </a:ext>
                      </a:extLst>
                    </pic:cNvPr>
                    <pic:cNvPicPr>
                      <a:picLocks noChangeAspect="1"/>
                    </pic:cNvPicPr>
                  </pic:nvPicPr>
                  <pic:blipFill>
                    <a:blip r:embed="rId7"/>
                    <a:stretch>
                      <a:fillRect/>
                    </a:stretch>
                  </pic:blipFill>
                  <pic:spPr>
                    <a:xfrm>
                      <a:off x="0" y="0"/>
                      <a:ext cx="1778717" cy="1778717"/>
                    </a:xfrm>
                    <a:prstGeom prst="rect">
                      <a:avLst/>
                    </a:prstGeom>
                  </pic:spPr>
                </pic:pic>
              </a:graphicData>
            </a:graphic>
          </wp:inline>
        </w:drawing>
      </w:r>
    </w:p>
    <w:p w14:paraId="5837EE20" w14:textId="74B729EC" w:rsidR="00C06786" w:rsidRDefault="00C06786" w:rsidP="00C06786">
      <w:pPr>
        <w:pStyle w:val="ListParagraph"/>
      </w:pPr>
    </w:p>
    <w:p w14:paraId="31D03CF2" w14:textId="77777777" w:rsidR="00C06786" w:rsidRDefault="00C06786" w:rsidP="00C06786">
      <w:pPr>
        <w:pStyle w:val="ListParagrap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277"/>
        <w:gridCol w:w="3288"/>
        <w:gridCol w:w="2126"/>
        <w:gridCol w:w="4507"/>
        <w:gridCol w:w="1508"/>
      </w:tblGrid>
      <w:tr w:rsidR="00393FC1" w14:paraId="0659EC97" w14:textId="77777777" w:rsidTr="00260243">
        <w:trPr>
          <w:trHeight w:val="340"/>
        </w:trPr>
        <w:tc>
          <w:tcPr>
            <w:tcW w:w="15365"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0358F274" w14:textId="77777777" w:rsidR="00393FC1" w:rsidRDefault="00393FC1" w:rsidP="00260243">
            <w:pPr>
              <w:pStyle w:val="TableParagraph"/>
              <w:tabs>
                <w:tab w:val="left" w:pos="3225"/>
              </w:tabs>
              <w:spacing w:before="52"/>
              <w:ind w:left="103"/>
              <w:rPr>
                <w:b/>
                <w:sz w:val="20"/>
              </w:rPr>
            </w:pPr>
            <w:r>
              <w:rPr>
                <w:b/>
                <w:sz w:val="20"/>
              </w:rPr>
              <w:t>Summary information</w:t>
            </w:r>
            <w:r w:rsidR="00260243">
              <w:rPr>
                <w:b/>
                <w:sz w:val="20"/>
              </w:rPr>
              <w:tab/>
            </w:r>
          </w:p>
        </w:tc>
      </w:tr>
      <w:tr w:rsidR="00393FC1" w14:paraId="48A654E6" w14:textId="77777777" w:rsidTr="00440DF4">
        <w:trPr>
          <w:trHeight w:val="340"/>
        </w:trPr>
        <w:tc>
          <w:tcPr>
            <w:tcW w:w="2659" w:type="dxa"/>
            <w:tcBorders>
              <w:top w:val="single" w:sz="4" w:space="0" w:color="000000"/>
              <w:left w:val="single" w:sz="4" w:space="0" w:color="000000"/>
              <w:bottom w:val="single" w:sz="4" w:space="0" w:color="000000"/>
              <w:right w:val="single" w:sz="4" w:space="0" w:color="000000"/>
            </w:tcBorders>
            <w:hideMark/>
          </w:tcPr>
          <w:p w14:paraId="42D602EB" w14:textId="77777777" w:rsidR="00393FC1" w:rsidRDefault="00393FC1">
            <w:pPr>
              <w:pStyle w:val="TableParagraph"/>
              <w:spacing w:before="52"/>
              <w:ind w:left="103"/>
              <w:rPr>
                <w:b/>
                <w:sz w:val="20"/>
              </w:rPr>
            </w:pPr>
            <w:r>
              <w:rPr>
                <w:b/>
                <w:sz w:val="20"/>
              </w:rPr>
              <w:t>Academic Year</w:t>
            </w:r>
          </w:p>
        </w:tc>
        <w:tc>
          <w:tcPr>
            <w:tcW w:w="1277" w:type="dxa"/>
            <w:tcBorders>
              <w:top w:val="single" w:sz="4" w:space="0" w:color="000000"/>
              <w:left w:val="single" w:sz="4" w:space="0" w:color="000000"/>
              <w:bottom w:val="single" w:sz="4" w:space="0" w:color="000000"/>
              <w:right w:val="single" w:sz="4" w:space="0" w:color="000000"/>
            </w:tcBorders>
            <w:hideMark/>
          </w:tcPr>
          <w:p w14:paraId="273AD5B4" w14:textId="77777777" w:rsidR="00393FC1" w:rsidRDefault="008F3163" w:rsidP="00260243">
            <w:pPr>
              <w:pStyle w:val="TableParagraph"/>
              <w:spacing w:before="54"/>
              <w:ind w:left="105"/>
              <w:rPr>
                <w:sz w:val="20"/>
              </w:rPr>
            </w:pPr>
            <w:r>
              <w:rPr>
                <w:sz w:val="20"/>
              </w:rPr>
              <w:t>2020/21</w:t>
            </w:r>
          </w:p>
        </w:tc>
        <w:tc>
          <w:tcPr>
            <w:tcW w:w="3288" w:type="dxa"/>
            <w:tcBorders>
              <w:top w:val="single" w:sz="4" w:space="0" w:color="000000"/>
              <w:left w:val="single" w:sz="4" w:space="0" w:color="000000"/>
              <w:bottom w:val="single" w:sz="4" w:space="0" w:color="000000"/>
              <w:right w:val="single" w:sz="4" w:space="0" w:color="000000"/>
            </w:tcBorders>
            <w:hideMark/>
          </w:tcPr>
          <w:p w14:paraId="17251630" w14:textId="77777777" w:rsidR="00393FC1" w:rsidRDefault="00393FC1">
            <w:pPr>
              <w:pStyle w:val="TableParagraph"/>
              <w:spacing w:before="52"/>
              <w:ind w:left="102"/>
              <w:rPr>
                <w:b/>
                <w:sz w:val="20"/>
              </w:rPr>
            </w:pPr>
            <w:r>
              <w:rPr>
                <w:b/>
                <w:sz w:val="20"/>
              </w:rPr>
              <w:t>Total PE budget</w:t>
            </w:r>
          </w:p>
        </w:tc>
        <w:tc>
          <w:tcPr>
            <w:tcW w:w="2126" w:type="dxa"/>
            <w:tcBorders>
              <w:top w:val="single" w:sz="4" w:space="0" w:color="000000"/>
              <w:left w:val="single" w:sz="4" w:space="0" w:color="000000"/>
              <w:bottom w:val="single" w:sz="4" w:space="0" w:color="000000"/>
              <w:right w:val="single" w:sz="4" w:space="0" w:color="000000"/>
            </w:tcBorders>
            <w:hideMark/>
          </w:tcPr>
          <w:p w14:paraId="04D0E0F8" w14:textId="27674623" w:rsidR="00393FC1" w:rsidRDefault="008651B1" w:rsidP="00440DF4">
            <w:pPr>
              <w:pStyle w:val="TableParagraph"/>
              <w:spacing w:before="54"/>
              <w:ind w:left="105"/>
              <w:rPr>
                <w:sz w:val="20"/>
              </w:rPr>
            </w:pPr>
            <w:r>
              <w:rPr>
                <w:sz w:val="20"/>
              </w:rPr>
              <w:t>£</w:t>
            </w:r>
            <w:r w:rsidR="004F5E83">
              <w:rPr>
                <w:sz w:val="20"/>
              </w:rPr>
              <w:t>16</w:t>
            </w:r>
            <w:r w:rsidR="00C06786">
              <w:rPr>
                <w:sz w:val="20"/>
              </w:rPr>
              <w:t>,300</w:t>
            </w:r>
          </w:p>
        </w:tc>
        <w:tc>
          <w:tcPr>
            <w:tcW w:w="4507" w:type="dxa"/>
            <w:tcBorders>
              <w:top w:val="single" w:sz="4" w:space="0" w:color="000000"/>
              <w:left w:val="single" w:sz="4" w:space="0" w:color="000000"/>
              <w:bottom w:val="single" w:sz="4" w:space="0" w:color="000000"/>
              <w:right w:val="single" w:sz="4" w:space="0" w:color="auto"/>
            </w:tcBorders>
            <w:hideMark/>
          </w:tcPr>
          <w:p w14:paraId="5C53400A" w14:textId="77777777" w:rsidR="00393FC1" w:rsidRDefault="00393FC1">
            <w:pPr>
              <w:pStyle w:val="TableParagraph"/>
              <w:spacing w:before="52"/>
              <w:ind w:left="105"/>
              <w:rPr>
                <w:b/>
                <w:sz w:val="20"/>
              </w:rPr>
            </w:pPr>
            <w:r>
              <w:rPr>
                <w:b/>
                <w:sz w:val="20"/>
              </w:rPr>
              <w:t>Total number of pupils</w:t>
            </w:r>
          </w:p>
        </w:tc>
        <w:tc>
          <w:tcPr>
            <w:tcW w:w="1507" w:type="dxa"/>
            <w:tcBorders>
              <w:top w:val="single" w:sz="4" w:space="0" w:color="auto"/>
              <w:left w:val="single" w:sz="4" w:space="0" w:color="auto"/>
              <w:bottom w:val="single" w:sz="4" w:space="0" w:color="auto"/>
              <w:right w:val="single" w:sz="4" w:space="0" w:color="auto"/>
            </w:tcBorders>
            <w:hideMark/>
          </w:tcPr>
          <w:p w14:paraId="00CCB773" w14:textId="72B591EF" w:rsidR="00393FC1" w:rsidRDefault="00C06786" w:rsidP="00393FC1">
            <w:pPr>
              <w:pStyle w:val="TableParagraph"/>
              <w:spacing w:before="54"/>
              <w:rPr>
                <w:sz w:val="20"/>
              </w:rPr>
            </w:pPr>
            <w:r>
              <w:rPr>
                <w:sz w:val="20"/>
              </w:rPr>
              <w:t>65</w:t>
            </w:r>
          </w:p>
        </w:tc>
      </w:tr>
    </w:tbl>
    <w:p w14:paraId="3013D625" w14:textId="77777777" w:rsidR="00393FC1" w:rsidRDefault="00393FC1"/>
    <w:p w14:paraId="040B1F8A" w14:textId="77777777" w:rsidR="00393FC1" w:rsidRDefault="00393FC1" w:rsidP="005A26BD">
      <w:pPr>
        <w:pStyle w:val="BodyText"/>
        <w:spacing w:before="94"/>
        <w:ind w:left="221" w:right="899"/>
      </w:pPr>
      <w:r>
        <w:t>The Sports Premium is an amount of money allocated to schools to improve the quality and breadth of PE and sport provision. Schools are free to determine how best to use this funding to improve the quality and breadth of PE and sport provision, including increasing participation in PE and sport so that pupils develop healthy lifestyles and reach the performance levels they are capable of.</w:t>
      </w:r>
    </w:p>
    <w:p w14:paraId="39C5994C" w14:textId="77777777" w:rsidR="00822BEE" w:rsidRDefault="00822BEE" w:rsidP="005A26BD">
      <w:pPr>
        <w:pStyle w:val="BodyText"/>
        <w:spacing w:before="94"/>
        <w:ind w:left="221" w:right="899"/>
      </w:pPr>
    </w:p>
    <w:p w14:paraId="6C96B9DF" w14:textId="2B2F0672" w:rsidR="00822BEE" w:rsidRDefault="00393FC1" w:rsidP="005A26BD">
      <w:pPr>
        <w:pStyle w:val="BodyText"/>
        <w:spacing w:before="1" w:line="252" w:lineRule="exact"/>
        <w:ind w:left="221"/>
      </w:pPr>
      <w:r>
        <w:t xml:space="preserve">At </w:t>
      </w:r>
      <w:r w:rsidR="00E15A79">
        <w:t xml:space="preserve">Chigwell Row Infant </w:t>
      </w:r>
      <w:proofErr w:type="gramStart"/>
      <w:r w:rsidR="00E15A79">
        <w:t>School</w:t>
      </w:r>
      <w:proofErr w:type="gramEnd"/>
      <w:r>
        <w:t xml:space="preserve"> we will use the money to focus on</w:t>
      </w:r>
    </w:p>
    <w:p w14:paraId="6D6581DE" w14:textId="77777777" w:rsidR="00393FC1" w:rsidRDefault="00393FC1" w:rsidP="005A26BD">
      <w:pPr>
        <w:pStyle w:val="BodyText"/>
        <w:spacing w:before="1" w:line="252" w:lineRule="exact"/>
        <w:ind w:left="221"/>
      </w:pPr>
      <w:r>
        <w:t>.</w:t>
      </w:r>
    </w:p>
    <w:p w14:paraId="6A34042D" w14:textId="77777777" w:rsidR="00393FC1" w:rsidRDefault="00393FC1" w:rsidP="005A26BD">
      <w:pPr>
        <w:pStyle w:val="ListParagraph"/>
        <w:numPr>
          <w:ilvl w:val="0"/>
          <w:numId w:val="1"/>
        </w:numPr>
        <w:tabs>
          <w:tab w:val="left" w:pos="803"/>
        </w:tabs>
        <w:ind w:hanging="362"/>
      </w:pPr>
      <w:r>
        <w:t>Increased</w:t>
      </w:r>
      <w:r>
        <w:rPr>
          <w:spacing w:val="-7"/>
        </w:rPr>
        <w:t xml:space="preserve"> </w:t>
      </w:r>
      <w:r>
        <w:t>participation</w:t>
      </w:r>
      <w:r>
        <w:rPr>
          <w:spacing w:val="-5"/>
        </w:rPr>
        <w:t xml:space="preserve"> </w:t>
      </w:r>
      <w:r>
        <w:t>and</w:t>
      </w:r>
      <w:r>
        <w:rPr>
          <w:spacing w:val="-5"/>
        </w:rPr>
        <w:t xml:space="preserve"> </w:t>
      </w:r>
      <w:r>
        <w:t>enjoyment</w:t>
      </w:r>
      <w:r>
        <w:rPr>
          <w:spacing w:val="-4"/>
        </w:rPr>
        <w:t xml:space="preserve"> </w:t>
      </w:r>
      <w:r>
        <w:t>of</w:t>
      </w:r>
      <w:r>
        <w:rPr>
          <w:spacing w:val="-2"/>
        </w:rPr>
        <w:t xml:space="preserve"> </w:t>
      </w:r>
      <w:r>
        <w:t>PE</w:t>
      </w:r>
      <w:r>
        <w:rPr>
          <w:spacing w:val="-11"/>
        </w:rPr>
        <w:t xml:space="preserve"> </w:t>
      </w:r>
      <w:r>
        <w:t>for</w:t>
      </w:r>
      <w:r>
        <w:rPr>
          <w:spacing w:val="-7"/>
        </w:rPr>
        <w:t xml:space="preserve"> </w:t>
      </w:r>
      <w:r>
        <w:t>all</w:t>
      </w:r>
      <w:r>
        <w:rPr>
          <w:spacing w:val="-6"/>
        </w:rPr>
        <w:t xml:space="preserve"> </w:t>
      </w:r>
      <w:r>
        <w:t>pupils</w:t>
      </w:r>
      <w:r>
        <w:rPr>
          <w:spacing w:val="-3"/>
        </w:rPr>
        <w:t xml:space="preserve"> </w:t>
      </w:r>
      <w:r>
        <w:t>during</w:t>
      </w:r>
      <w:r>
        <w:rPr>
          <w:spacing w:val="-3"/>
        </w:rPr>
        <w:t xml:space="preserve"> </w:t>
      </w:r>
      <w:r>
        <w:t>lessons</w:t>
      </w:r>
      <w:r>
        <w:rPr>
          <w:spacing w:val="-5"/>
        </w:rPr>
        <w:t xml:space="preserve"> </w:t>
      </w:r>
      <w:r>
        <w:t>and</w:t>
      </w:r>
      <w:r>
        <w:rPr>
          <w:spacing w:val="-1"/>
        </w:rPr>
        <w:t xml:space="preserve"> </w:t>
      </w:r>
      <w:r>
        <w:t>through</w:t>
      </w:r>
      <w:r>
        <w:rPr>
          <w:spacing w:val="-5"/>
        </w:rPr>
        <w:t xml:space="preserve"> </w:t>
      </w:r>
      <w:r>
        <w:t>extra–curricular</w:t>
      </w:r>
      <w:r>
        <w:rPr>
          <w:spacing w:val="-2"/>
        </w:rPr>
        <w:t xml:space="preserve"> </w:t>
      </w:r>
      <w:r>
        <w:t>opportunities</w:t>
      </w:r>
    </w:p>
    <w:p w14:paraId="68912D27" w14:textId="77777777" w:rsidR="00393FC1" w:rsidRDefault="00393FC1" w:rsidP="005A26BD">
      <w:pPr>
        <w:pStyle w:val="ListParagraph"/>
        <w:numPr>
          <w:ilvl w:val="0"/>
          <w:numId w:val="1"/>
        </w:numPr>
        <w:tabs>
          <w:tab w:val="left" w:pos="803"/>
        </w:tabs>
        <w:spacing w:before="1"/>
        <w:ind w:hanging="362"/>
      </w:pPr>
      <w:r>
        <w:t xml:space="preserve">To give all of our pupils the opportunity to participate in outdoor </w:t>
      </w:r>
      <w:r w:rsidR="00822BEE">
        <w:t>fitness and adventure activity every day.</w:t>
      </w:r>
    </w:p>
    <w:p w14:paraId="247E2635" w14:textId="77777777" w:rsidR="00393FC1" w:rsidRDefault="00393FC1" w:rsidP="005A26BD">
      <w:pPr>
        <w:pStyle w:val="ListParagraph"/>
        <w:numPr>
          <w:ilvl w:val="0"/>
          <w:numId w:val="1"/>
        </w:numPr>
        <w:tabs>
          <w:tab w:val="left" w:pos="803"/>
        </w:tabs>
        <w:ind w:hanging="362"/>
      </w:pPr>
      <w:r>
        <w:t>To embed the idea of regular exercise as an essential part of a healthy</w:t>
      </w:r>
      <w:r>
        <w:rPr>
          <w:spacing w:val="-13"/>
        </w:rPr>
        <w:t xml:space="preserve"> </w:t>
      </w:r>
      <w:r>
        <w:t>lifestyle</w:t>
      </w:r>
    </w:p>
    <w:p w14:paraId="168C8E75" w14:textId="77777777" w:rsidR="00393FC1" w:rsidRDefault="00393FC1" w:rsidP="005A26BD">
      <w:pPr>
        <w:pStyle w:val="BodyText"/>
        <w:spacing w:before="6"/>
        <w:rPr>
          <w:sz w:val="21"/>
        </w:rPr>
      </w:pPr>
    </w:p>
    <w:p w14:paraId="2941D1C2" w14:textId="0F83D12B" w:rsidR="00393FC1" w:rsidRDefault="00393FC1" w:rsidP="005A26BD">
      <w:pPr>
        <w:pStyle w:val="BodyText"/>
        <w:spacing w:line="276" w:lineRule="auto"/>
        <w:ind w:left="221" w:right="841"/>
      </w:pPr>
      <w:r>
        <w:t>In 201</w:t>
      </w:r>
      <w:r w:rsidR="00CD1250">
        <w:t>9-2020</w:t>
      </w:r>
      <w:r>
        <w:t xml:space="preserve"> </w:t>
      </w:r>
      <w:r w:rsidR="00E15A79">
        <w:t>Chigwell Row</w:t>
      </w:r>
      <w:r w:rsidR="005A26BD">
        <w:t xml:space="preserve"> Infant School</w:t>
      </w:r>
      <w:r w:rsidR="008651B1">
        <w:t xml:space="preserve"> will receive a </w:t>
      </w:r>
      <w:r w:rsidR="008651B1" w:rsidRPr="008651B1">
        <w:t>grant of £</w:t>
      </w:r>
      <w:r w:rsidR="00290F8C">
        <w:t>16,</w:t>
      </w:r>
      <w:r w:rsidR="00C06786">
        <w:t>300</w:t>
      </w:r>
      <w:r>
        <w:t>. We will spend this funding on the following projects, supplemented by our delegated budget and other funds to ensure that we support all of our pupils to ensure they continue to develop healthy, active lifestyles and increase their participation and enjoyment in PE and sport.</w:t>
      </w:r>
    </w:p>
    <w:p w14:paraId="5D18BC3E" w14:textId="77777777" w:rsidR="00393FC1" w:rsidRDefault="00393FC1"/>
    <w:tbl>
      <w:tblPr>
        <w:tblW w:w="15656"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3"/>
        <w:gridCol w:w="567"/>
        <w:gridCol w:w="567"/>
        <w:gridCol w:w="452"/>
        <w:gridCol w:w="598"/>
        <w:gridCol w:w="1502"/>
        <w:gridCol w:w="7617"/>
      </w:tblGrid>
      <w:tr w:rsidR="00704065" w14:paraId="52F738E7" w14:textId="77777777" w:rsidTr="00290F49">
        <w:trPr>
          <w:trHeight w:val="407"/>
        </w:trPr>
        <w:tc>
          <w:tcPr>
            <w:tcW w:w="4353" w:type="dxa"/>
          </w:tcPr>
          <w:p w14:paraId="18FA7C47" w14:textId="77777777" w:rsidR="00704065" w:rsidRDefault="00704065" w:rsidP="00472944">
            <w:pPr>
              <w:pStyle w:val="TableParagraph"/>
              <w:spacing w:line="248" w:lineRule="exact"/>
              <w:ind w:left="182"/>
              <w:rPr>
                <w:b/>
              </w:rPr>
            </w:pPr>
            <w:r>
              <w:rPr>
                <w:b/>
              </w:rPr>
              <w:t>Provision</w:t>
            </w:r>
          </w:p>
        </w:tc>
        <w:tc>
          <w:tcPr>
            <w:tcW w:w="567" w:type="dxa"/>
          </w:tcPr>
          <w:p w14:paraId="5C7E7CE5" w14:textId="77777777" w:rsidR="00704065" w:rsidRDefault="00704065" w:rsidP="00472944">
            <w:pPr>
              <w:pStyle w:val="TableParagraph"/>
              <w:spacing w:line="246" w:lineRule="exact"/>
              <w:ind w:left="1"/>
              <w:jc w:val="center"/>
              <w:rPr>
                <w:b/>
              </w:rPr>
            </w:pPr>
            <w:r>
              <w:rPr>
                <w:b/>
              </w:rPr>
              <w:t>N</w:t>
            </w:r>
          </w:p>
        </w:tc>
        <w:tc>
          <w:tcPr>
            <w:tcW w:w="567" w:type="dxa"/>
          </w:tcPr>
          <w:p w14:paraId="7B8A3381" w14:textId="77777777" w:rsidR="00704065" w:rsidRDefault="00704065" w:rsidP="00472944">
            <w:pPr>
              <w:pStyle w:val="TableParagraph"/>
              <w:spacing w:line="246" w:lineRule="exact"/>
              <w:ind w:left="1"/>
              <w:jc w:val="center"/>
              <w:rPr>
                <w:b/>
              </w:rPr>
            </w:pPr>
            <w:r>
              <w:rPr>
                <w:b/>
              </w:rPr>
              <w:t>R</w:t>
            </w:r>
          </w:p>
        </w:tc>
        <w:tc>
          <w:tcPr>
            <w:tcW w:w="452" w:type="dxa"/>
          </w:tcPr>
          <w:p w14:paraId="7FE6E5A7" w14:textId="77777777" w:rsidR="00704065" w:rsidRDefault="00704065" w:rsidP="00472944">
            <w:pPr>
              <w:pStyle w:val="TableParagraph"/>
              <w:spacing w:line="246" w:lineRule="exact"/>
              <w:ind w:left="5"/>
              <w:jc w:val="center"/>
              <w:rPr>
                <w:b/>
              </w:rPr>
            </w:pPr>
            <w:r>
              <w:rPr>
                <w:b/>
              </w:rPr>
              <w:t>1</w:t>
            </w:r>
          </w:p>
        </w:tc>
        <w:tc>
          <w:tcPr>
            <w:tcW w:w="598" w:type="dxa"/>
          </w:tcPr>
          <w:p w14:paraId="5805395E" w14:textId="77777777" w:rsidR="00704065" w:rsidRDefault="00704065" w:rsidP="00472944">
            <w:pPr>
              <w:pStyle w:val="TableParagraph"/>
              <w:spacing w:line="246" w:lineRule="exact"/>
              <w:ind w:left="189"/>
              <w:rPr>
                <w:b/>
              </w:rPr>
            </w:pPr>
            <w:r>
              <w:rPr>
                <w:b/>
              </w:rPr>
              <w:t>2</w:t>
            </w:r>
          </w:p>
        </w:tc>
        <w:tc>
          <w:tcPr>
            <w:tcW w:w="1502" w:type="dxa"/>
          </w:tcPr>
          <w:p w14:paraId="5B76B52C" w14:textId="77777777" w:rsidR="00704065" w:rsidRDefault="00704065" w:rsidP="00290F49">
            <w:pPr>
              <w:pStyle w:val="TableParagraph"/>
              <w:spacing w:line="248" w:lineRule="exact"/>
              <w:jc w:val="center"/>
              <w:rPr>
                <w:b/>
              </w:rPr>
            </w:pPr>
            <w:r>
              <w:rPr>
                <w:b/>
              </w:rPr>
              <w:t>COST</w:t>
            </w:r>
          </w:p>
        </w:tc>
        <w:tc>
          <w:tcPr>
            <w:tcW w:w="7617" w:type="dxa"/>
          </w:tcPr>
          <w:p w14:paraId="741133A5" w14:textId="77777777" w:rsidR="00704065" w:rsidRDefault="00704065" w:rsidP="00472944">
            <w:pPr>
              <w:pStyle w:val="TableParagraph"/>
              <w:spacing w:line="246" w:lineRule="exact"/>
              <w:ind w:left="1574"/>
              <w:rPr>
                <w:b/>
              </w:rPr>
            </w:pPr>
            <w:r>
              <w:rPr>
                <w:b/>
              </w:rPr>
              <w:t>DESIRED IMPACT</w:t>
            </w:r>
          </w:p>
        </w:tc>
      </w:tr>
      <w:tr w:rsidR="00704065" w14:paraId="18BD6519" w14:textId="77777777" w:rsidTr="00290F49">
        <w:trPr>
          <w:trHeight w:val="721"/>
        </w:trPr>
        <w:tc>
          <w:tcPr>
            <w:tcW w:w="4353" w:type="dxa"/>
          </w:tcPr>
          <w:p w14:paraId="714EC869" w14:textId="77777777" w:rsidR="00704065" w:rsidRDefault="00704065" w:rsidP="004F5E83">
            <w:pPr>
              <w:pStyle w:val="TableParagraph"/>
              <w:ind w:right="245"/>
            </w:pPr>
            <w:r>
              <w:t>To p</w:t>
            </w:r>
            <w:r w:rsidR="008F3163">
              <w:t>rovide coaching to the EYFS and Key Stage 1 to enhance progress in PE</w:t>
            </w:r>
            <w:r>
              <w:t xml:space="preserve"> and to give children varied experiences which they might not normally experience</w:t>
            </w:r>
            <w:r w:rsidR="004F5E83">
              <w:t>. Opportunity for all children to learn a sport, taught by professional coaches.</w:t>
            </w:r>
          </w:p>
        </w:tc>
        <w:tc>
          <w:tcPr>
            <w:tcW w:w="567" w:type="dxa"/>
          </w:tcPr>
          <w:p w14:paraId="766B63D2" w14:textId="77777777" w:rsidR="00704065" w:rsidRDefault="00704065" w:rsidP="00290F8C">
            <w:pPr>
              <w:pStyle w:val="BodyText"/>
              <w:jc w:val="center"/>
            </w:pPr>
          </w:p>
          <w:p w14:paraId="10E15CEA" w14:textId="77777777" w:rsidR="00704065" w:rsidRPr="008651B1" w:rsidRDefault="00704065" w:rsidP="00290F8C">
            <w:pPr>
              <w:pStyle w:val="BodyText"/>
              <w:jc w:val="center"/>
            </w:pPr>
            <w:r w:rsidRPr="008651B1">
              <w:sym w:font="Wingdings 2" w:char="F050"/>
            </w:r>
          </w:p>
        </w:tc>
        <w:tc>
          <w:tcPr>
            <w:tcW w:w="567" w:type="dxa"/>
          </w:tcPr>
          <w:p w14:paraId="30B62698" w14:textId="77777777" w:rsidR="00704065" w:rsidRPr="008651B1" w:rsidRDefault="00704065" w:rsidP="00290F8C">
            <w:pPr>
              <w:pStyle w:val="BodyText"/>
              <w:jc w:val="center"/>
            </w:pPr>
          </w:p>
          <w:p w14:paraId="56F367CA" w14:textId="77777777" w:rsidR="00704065" w:rsidRPr="008651B1" w:rsidRDefault="00704065" w:rsidP="00290F8C">
            <w:pPr>
              <w:pStyle w:val="BodyText"/>
              <w:jc w:val="center"/>
            </w:pPr>
            <w:r w:rsidRPr="008651B1">
              <w:sym w:font="Wingdings 2" w:char="F050"/>
            </w:r>
          </w:p>
        </w:tc>
        <w:tc>
          <w:tcPr>
            <w:tcW w:w="452" w:type="dxa"/>
          </w:tcPr>
          <w:p w14:paraId="52E190AA" w14:textId="77777777" w:rsidR="00704065" w:rsidRPr="008651B1" w:rsidRDefault="00704065" w:rsidP="00290F8C">
            <w:pPr>
              <w:pStyle w:val="BodyText"/>
              <w:jc w:val="center"/>
            </w:pPr>
          </w:p>
          <w:p w14:paraId="3277B342" w14:textId="77777777" w:rsidR="00704065" w:rsidRPr="008651B1" w:rsidRDefault="00704065" w:rsidP="00290F8C">
            <w:pPr>
              <w:pStyle w:val="BodyText"/>
              <w:jc w:val="center"/>
            </w:pPr>
            <w:r w:rsidRPr="008651B1">
              <w:sym w:font="Wingdings 2" w:char="F050"/>
            </w:r>
          </w:p>
        </w:tc>
        <w:tc>
          <w:tcPr>
            <w:tcW w:w="598" w:type="dxa"/>
          </w:tcPr>
          <w:p w14:paraId="3524BB3A" w14:textId="77777777" w:rsidR="00704065" w:rsidRPr="008651B1" w:rsidRDefault="00704065" w:rsidP="00290F8C">
            <w:pPr>
              <w:pStyle w:val="BodyText"/>
              <w:jc w:val="center"/>
            </w:pPr>
          </w:p>
          <w:p w14:paraId="5D2F6826" w14:textId="77777777" w:rsidR="00704065" w:rsidRPr="008651B1" w:rsidRDefault="00704065" w:rsidP="00290F8C">
            <w:pPr>
              <w:pStyle w:val="BodyText"/>
              <w:jc w:val="center"/>
            </w:pPr>
            <w:r w:rsidRPr="008651B1">
              <w:sym w:font="Wingdings 2" w:char="F050"/>
            </w:r>
          </w:p>
        </w:tc>
        <w:tc>
          <w:tcPr>
            <w:tcW w:w="1502" w:type="dxa"/>
          </w:tcPr>
          <w:p w14:paraId="7EBB6FF7" w14:textId="1C5F5116" w:rsidR="00704065" w:rsidRDefault="00292C07" w:rsidP="00CD1250">
            <w:pPr>
              <w:jc w:val="center"/>
            </w:pPr>
            <w:r>
              <w:t>£</w:t>
            </w:r>
            <w:r w:rsidR="00C64FDB">
              <w:t>1</w:t>
            </w:r>
            <w:r w:rsidR="00E15A79">
              <w:t>0</w:t>
            </w:r>
            <w:r w:rsidR="00C64FDB">
              <w:t>,</w:t>
            </w:r>
            <w:r w:rsidR="00E15A79">
              <w:t>62</w:t>
            </w:r>
            <w:r w:rsidR="00C64FDB">
              <w:t>5</w:t>
            </w:r>
          </w:p>
        </w:tc>
        <w:tc>
          <w:tcPr>
            <w:tcW w:w="7617" w:type="dxa"/>
          </w:tcPr>
          <w:p w14:paraId="77C341BA" w14:textId="2C82FF94" w:rsidR="00704065" w:rsidRDefault="00704065" w:rsidP="00290F8C">
            <w:pPr>
              <w:pStyle w:val="TableParagraph"/>
              <w:ind w:left="102" w:right="209"/>
            </w:pPr>
            <w:r>
              <w:t xml:space="preserve">To enable </w:t>
            </w:r>
            <w:r w:rsidR="00C64FDB">
              <w:t xml:space="preserve">both </w:t>
            </w:r>
            <w:proofErr w:type="gramStart"/>
            <w:r>
              <w:t xml:space="preserve">EYFS </w:t>
            </w:r>
            <w:r w:rsidR="00C64FDB">
              <w:t xml:space="preserve"> and</w:t>
            </w:r>
            <w:proofErr w:type="gramEnd"/>
            <w:r w:rsidR="00C64FDB">
              <w:t xml:space="preserve"> KS1 </w:t>
            </w:r>
            <w:r>
              <w:t>children to develop their skills and experience and enjoy a variety of sports and play equipment.</w:t>
            </w:r>
          </w:p>
        </w:tc>
      </w:tr>
      <w:tr w:rsidR="00CD1250" w14:paraId="7E76A924" w14:textId="77777777" w:rsidTr="00290F49">
        <w:trPr>
          <w:trHeight w:val="800"/>
        </w:trPr>
        <w:tc>
          <w:tcPr>
            <w:tcW w:w="4353" w:type="dxa"/>
          </w:tcPr>
          <w:p w14:paraId="7A6993C9" w14:textId="77777777" w:rsidR="00CD1250" w:rsidRDefault="00CD1250" w:rsidP="004F5E83">
            <w:pPr>
              <w:pStyle w:val="TableParagraph"/>
              <w:ind w:right="551"/>
            </w:pPr>
            <w:r>
              <w:t xml:space="preserve">To purchase new Sports Equipment and </w:t>
            </w:r>
            <w:r w:rsidR="004F5E83">
              <w:t xml:space="preserve">continue subscription to get set for PE to track the impact of PE and </w:t>
            </w:r>
            <w:r w:rsidR="004F5E83">
              <w:lastRenderedPageBreak/>
              <w:t>additional activities.</w:t>
            </w:r>
          </w:p>
        </w:tc>
        <w:tc>
          <w:tcPr>
            <w:tcW w:w="567" w:type="dxa"/>
          </w:tcPr>
          <w:p w14:paraId="3F578A32" w14:textId="77777777" w:rsidR="00CD1250" w:rsidRDefault="00CD1250" w:rsidP="00CD1250">
            <w:pPr>
              <w:pStyle w:val="BodyText"/>
              <w:jc w:val="center"/>
            </w:pPr>
          </w:p>
          <w:p w14:paraId="1C5D6387" w14:textId="77777777" w:rsidR="00CD1250" w:rsidRPr="008651B1" w:rsidRDefault="00CD1250" w:rsidP="00CD1250">
            <w:pPr>
              <w:pStyle w:val="BodyText"/>
              <w:jc w:val="center"/>
            </w:pPr>
          </w:p>
        </w:tc>
        <w:tc>
          <w:tcPr>
            <w:tcW w:w="567" w:type="dxa"/>
          </w:tcPr>
          <w:p w14:paraId="45BFF0D5" w14:textId="77777777" w:rsidR="00CD1250" w:rsidRPr="008651B1" w:rsidRDefault="00CD1250" w:rsidP="00CD1250">
            <w:pPr>
              <w:pStyle w:val="BodyText"/>
              <w:jc w:val="center"/>
            </w:pPr>
          </w:p>
          <w:p w14:paraId="6F86FD75" w14:textId="77777777" w:rsidR="00CD1250" w:rsidRPr="008651B1" w:rsidRDefault="00CD1250" w:rsidP="00CD1250">
            <w:pPr>
              <w:pStyle w:val="BodyText"/>
              <w:jc w:val="center"/>
            </w:pPr>
            <w:r w:rsidRPr="008651B1">
              <w:sym w:font="Wingdings 2" w:char="F050"/>
            </w:r>
          </w:p>
        </w:tc>
        <w:tc>
          <w:tcPr>
            <w:tcW w:w="452" w:type="dxa"/>
          </w:tcPr>
          <w:p w14:paraId="28B668CB" w14:textId="77777777" w:rsidR="00CD1250" w:rsidRPr="008651B1" w:rsidRDefault="00CD1250" w:rsidP="00CD1250">
            <w:pPr>
              <w:pStyle w:val="BodyText"/>
              <w:jc w:val="center"/>
            </w:pPr>
          </w:p>
          <w:p w14:paraId="78DEEDD0" w14:textId="77777777" w:rsidR="00CD1250" w:rsidRPr="008651B1" w:rsidRDefault="00CD1250" w:rsidP="00CD1250">
            <w:pPr>
              <w:pStyle w:val="BodyText"/>
              <w:jc w:val="center"/>
            </w:pPr>
            <w:r w:rsidRPr="008651B1">
              <w:sym w:font="Wingdings 2" w:char="F050"/>
            </w:r>
          </w:p>
        </w:tc>
        <w:tc>
          <w:tcPr>
            <w:tcW w:w="598" w:type="dxa"/>
          </w:tcPr>
          <w:p w14:paraId="1B563C00" w14:textId="77777777" w:rsidR="00CD1250" w:rsidRPr="008651B1" w:rsidRDefault="00CD1250" w:rsidP="00CD1250">
            <w:pPr>
              <w:pStyle w:val="BodyText"/>
              <w:jc w:val="center"/>
            </w:pPr>
          </w:p>
          <w:p w14:paraId="56489428" w14:textId="77777777" w:rsidR="00CD1250" w:rsidRPr="008651B1" w:rsidRDefault="00CD1250" w:rsidP="00CD1250">
            <w:pPr>
              <w:pStyle w:val="BodyText"/>
              <w:jc w:val="center"/>
            </w:pPr>
            <w:r w:rsidRPr="008651B1">
              <w:sym w:font="Wingdings 2" w:char="F050"/>
            </w:r>
          </w:p>
        </w:tc>
        <w:tc>
          <w:tcPr>
            <w:tcW w:w="1502" w:type="dxa"/>
          </w:tcPr>
          <w:p w14:paraId="3968994D" w14:textId="77777777" w:rsidR="00CD1250" w:rsidRDefault="00CD1250" w:rsidP="00CD1250">
            <w:pPr>
              <w:jc w:val="center"/>
            </w:pPr>
          </w:p>
          <w:p w14:paraId="7CCDDF7C" w14:textId="75CAD905" w:rsidR="00CD1250" w:rsidRDefault="00426E42" w:rsidP="00CD1250">
            <w:pPr>
              <w:jc w:val="center"/>
            </w:pPr>
            <w:r>
              <w:t>£</w:t>
            </w:r>
            <w:r w:rsidR="00E15A79">
              <w:t>900</w:t>
            </w:r>
          </w:p>
        </w:tc>
        <w:tc>
          <w:tcPr>
            <w:tcW w:w="7617" w:type="dxa"/>
          </w:tcPr>
          <w:p w14:paraId="010380F3" w14:textId="11D52732" w:rsidR="00CD1250" w:rsidRDefault="00CD1250" w:rsidP="00CD1250">
            <w:pPr>
              <w:pStyle w:val="TableParagraph"/>
              <w:ind w:left="102" w:right="369"/>
            </w:pPr>
            <w:r>
              <w:t>To enable children to experience different activities and play physical games</w:t>
            </w:r>
            <w:r w:rsidR="00C64FDB">
              <w:t xml:space="preserve">. </w:t>
            </w:r>
            <w:r w:rsidR="004F5E83">
              <w:t xml:space="preserve">To identify what needs to be implemented and close any gaps in learning within PE. To be able to monitor the impact.  </w:t>
            </w:r>
          </w:p>
        </w:tc>
      </w:tr>
      <w:tr w:rsidR="00CD1250" w14:paraId="327DF362" w14:textId="77777777" w:rsidTr="00290F49">
        <w:trPr>
          <w:trHeight w:val="800"/>
        </w:trPr>
        <w:tc>
          <w:tcPr>
            <w:tcW w:w="4353" w:type="dxa"/>
          </w:tcPr>
          <w:p w14:paraId="2943B321" w14:textId="77777777" w:rsidR="00CD1250" w:rsidRDefault="00CD1250" w:rsidP="00CD1250">
            <w:pPr>
              <w:pStyle w:val="TableParagraph"/>
              <w:ind w:right="551"/>
            </w:pPr>
            <w:r>
              <w:t>Membership of local sports partnerships and participation in sports competitions, including transport</w:t>
            </w:r>
            <w:r w:rsidR="004F5E83">
              <w:t xml:space="preserve"> (WESSUP) Introduce new sports and sporting activities to the School (workshops)</w:t>
            </w:r>
          </w:p>
        </w:tc>
        <w:tc>
          <w:tcPr>
            <w:tcW w:w="567" w:type="dxa"/>
          </w:tcPr>
          <w:p w14:paraId="253BD155" w14:textId="77777777" w:rsidR="00CD1250" w:rsidRPr="008651B1" w:rsidRDefault="00CD1250" w:rsidP="00CD1250">
            <w:pPr>
              <w:pStyle w:val="BodyText"/>
              <w:jc w:val="center"/>
            </w:pPr>
          </w:p>
        </w:tc>
        <w:tc>
          <w:tcPr>
            <w:tcW w:w="567" w:type="dxa"/>
          </w:tcPr>
          <w:p w14:paraId="02DA6347" w14:textId="77777777" w:rsidR="00CD1250" w:rsidRPr="008651B1" w:rsidRDefault="00CD1250" w:rsidP="00CD1250">
            <w:pPr>
              <w:pStyle w:val="BodyText"/>
              <w:jc w:val="center"/>
            </w:pPr>
          </w:p>
          <w:p w14:paraId="0F1F5384" w14:textId="77777777" w:rsidR="00CD1250" w:rsidRPr="008651B1" w:rsidRDefault="00CD1250" w:rsidP="00CD1250">
            <w:pPr>
              <w:pStyle w:val="BodyText"/>
              <w:jc w:val="center"/>
            </w:pPr>
            <w:r w:rsidRPr="008651B1">
              <w:sym w:font="Wingdings 2" w:char="F050"/>
            </w:r>
          </w:p>
        </w:tc>
        <w:tc>
          <w:tcPr>
            <w:tcW w:w="452" w:type="dxa"/>
          </w:tcPr>
          <w:p w14:paraId="3FD3B5B0" w14:textId="77777777" w:rsidR="00CD1250" w:rsidRPr="008651B1" w:rsidRDefault="00CD1250" w:rsidP="00CD1250">
            <w:pPr>
              <w:pStyle w:val="BodyText"/>
              <w:jc w:val="center"/>
            </w:pPr>
          </w:p>
          <w:p w14:paraId="37EDFD66" w14:textId="77777777" w:rsidR="00CD1250" w:rsidRPr="008651B1" w:rsidRDefault="00CD1250" w:rsidP="00CD1250">
            <w:pPr>
              <w:pStyle w:val="BodyText"/>
              <w:jc w:val="center"/>
            </w:pPr>
            <w:r w:rsidRPr="008651B1">
              <w:sym w:font="Wingdings 2" w:char="F050"/>
            </w:r>
          </w:p>
        </w:tc>
        <w:tc>
          <w:tcPr>
            <w:tcW w:w="598" w:type="dxa"/>
          </w:tcPr>
          <w:p w14:paraId="401F1170" w14:textId="77777777" w:rsidR="00CD1250" w:rsidRPr="008651B1" w:rsidRDefault="00CD1250" w:rsidP="00CD1250">
            <w:pPr>
              <w:pStyle w:val="BodyText"/>
              <w:jc w:val="center"/>
            </w:pPr>
          </w:p>
          <w:p w14:paraId="02ECD84C" w14:textId="77777777" w:rsidR="00CD1250" w:rsidRPr="008651B1" w:rsidRDefault="00CD1250" w:rsidP="00CD1250">
            <w:pPr>
              <w:pStyle w:val="BodyText"/>
              <w:jc w:val="center"/>
            </w:pPr>
            <w:r w:rsidRPr="008651B1">
              <w:sym w:font="Wingdings 2" w:char="F050"/>
            </w:r>
          </w:p>
        </w:tc>
        <w:tc>
          <w:tcPr>
            <w:tcW w:w="1502" w:type="dxa"/>
          </w:tcPr>
          <w:p w14:paraId="53329095" w14:textId="77777777" w:rsidR="00CD1250" w:rsidRDefault="00CD1250" w:rsidP="00CD1250">
            <w:pPr>
              <w:jc w:val="center"/>
            </w:pPr>
          </w:p>
          <w:p w14:paraId="55E18E14" w14:textId="081DCCCC" w:rsidR="00CD1250" w:rsidRDefault="00292C07" w:rsidP="00CD1250">
            <w:pPr>
              <w:jc w:val="center"/>
            </w:pPr>
            <w:r>
              <w:t>£</w:t>
            </w:r>
            <w:r w:rsidR="00C64FDB">
              <w:t>880</w:t>
            </w:r>
          </w:p>
        </w:tc>
        <w:tc>
          <w:tcPr>
            <w:tcW w:w="7617" w:type="dxa"/>
          </w:tcPr>
          <w:p w14:paraId="49147FF7" w14:textId="77777777" w:rsidR="00CD1250" w:rsidRDefault="00CD1250" w:rsidP="00CD1250">
            <w:pPr>
              <w:pStyle w:val="TableParagraph"/>
              <w:ind w:left="102" w:right="369"/>
            </w:pPr>
            <w:r>
              <w:t>To ensure all pupils are reaching their full potential in a range of skills and games. The sports coaches will support all teachers in their PE lessons and take groups to ensure full participation at all</w:t>
            </w:r>
            <w:r>
              <w:rPr>
                <w:spacing w:val="-7"/>
              </w:rPr>
              <w:t xml:space="preserve"> </w:t>
            </w:r>
            <w:r>
              <w:t>times.</w:t>
            </w:r>
          </w:p>
        </w:tc>
      </w:tr>
      <w:tr w:rsidR="00CD1250" w14:paraId="4AB821ED" w14:textId="77777777" w:rsidTr="00290F49">
        <w:trPr>
          <w:trHeight w:val="800"/>
        </w:trPr>
        <w:tc>
          <w:tcPr>
            <w:tcW w:w="4353" w:type="dxa"/>
          </w:tcPr>
          <w:p w14:paraId="24EEC979" w14:textId="46077522" w:rsidR="00CD1250" w:rsidRDefault="00CD1250" w:rsidP="00CD1250">
            <w:pPr>
              <w:pStyle w:val="TableParagraph"/>
              <w:ind w:right="551"/>
            </w:pPr>
            <w:r>
              <w:t>Provide ‘</w:t>
            </w:r>
            <w:r w:rsidR="00C64FDB">
              <w:t>Experience’ days</w:t>
            </w:r>
            <w:r>
              <w:t xml:space="preserve"> giving children increased opportunities to experience different sports and promote healthy lifestyles</w:t>
            </w:r>
            <w:r w:rsidR="004F5E83">
              <w:t xml:space="preserve"> and raise the profile of sport and physical activity across the school. </w:t>
            </w:r>
          </w:p>
          <w:p w14:paraId="77B3FCBF" w14:textId="77777777" w:rsidR="007128CE" w:rsidRDefault="007128CE" w:rsidP="00CD1250">
            <w:pPr>
              <w:pStyle w:val="TableParagraph"/>
              <w:ind w:right="551"/>
            </w:pPr>
          </w:p>
        </w:tc>
        <w:tc>
          <w:tcPr>
            <w:tcW w:w="567" w:type="dxa"/>
          </w:tcPr>
          <w:p w14:paraId="4EF42AC4" w14:textId="77777777" w:rsidR="00CD1250" w:rsidRDefault="00CD1250" w:rsidP="00CD1250">
            <w:pPr>
              <w:jc w:val="center"/>
            </w:pPr>
          </w:p>
          <w:p w14:paraId="081972F4" w14:textId="77777777" w:rsidR="00CD1250" w:rsidRDefault="00CD1250" w:rsidP="00CD1250">
            <w:pPr>
              <w:jc w:val="center"/>
            </w:pPr>
            <w:r w:rsidRPr="00F478F3">
              <w:sym w:font="Wingdings 2" w:char="F050"/>
            </w:r>
          </w:p>
        </w:tc>
        <w:tc>
          <w:tcPr>
            <w:tcW w:w="567" w:type="dxa"/>
          </w:tcPr>
          <w:p w14:paraId="535BB4A2" w14:textId="77777777" w:rsidR="00FA0DCC" w:rsidRDefault="00FA0DCC" w:rsidP="00CD1250">
            <w:pPr>
              <w:jc w:val="center"/>
            </w:pPr>
          </w:p>
          <w:p w14:paraId="002D9B53" w14:textId="77777777" w:rsidR="00CD1250" w:rsidRDefault="00FA0DCC" w:rsidP="00CD1250">
            <w:pPr>
              <w:jc w:val="center"/>
            </w:pPr>
            <w:r w:rsidRPr="00F478F3">
              <w:sym w:font="Wingdings 2" w:char="F050"/>
            </w:r>
          </w:p>
        </w:tc>
        <w:tc>
          <w:tcPr>
            <w:tcW w:w="452" w:type="dxa"/>
          </w:tcPr>
          <w:p w14:paraId="70AC64EA" w14:textId="77777777" w:rsidR="00FA0DCC" w:rsidRDefault="00FA0DCC" w:rsidP="00CD1250">
            <w:pPr>
              <w:jc w:val="center"/>
            </w:pPr>
          </w:p>
          <w:p w14:paraId="20A853D5" w14:textId="77777777" w:rsidR="00CD1250" w:rsidRDefault="00FA0DCC" w:rsidP="00CD1250">
            <w:pPr>
              <w:jc w:val="center"/>
            </w:pPr>
            <w:r w:rsidRPr="00F478F3">
              <w:sym w:font="Wingdings 2" w:char="F050"/>
            </w:r>
          </w:p>
        </w:tc>
        <w:tc>
          <w:tcPr>
            <w:tcW w:w="598" w:type="dxa"/>
          </w:tcPr>
          <w:p w14:paraId="74A4C6C0" w14:textId="77777777" w:rsidR="00FA0DCC" w:rsidRDefault="00FA0DCC" w:rsidP="00CD1250">
            <w:pPr>
              <w:jc w:val="center"/>
            </w:pPr>
          </w:p>
          <w:p w14:paraId="7069B2AD" w14:textId="77777777" w:rsidR="00CD1250" w:rsidRDefault="00FA0DCC" w:rsidP="00CD1250">
            <w:pPr>
              <w:jc w:val="center"/>
            </w:pPr>
            <w:r w:rsidRPr="00F478F3">
              <w:sym w:font="Wingdings 2" w:char="F050"/>
            </w:r>
          </w:p>
        </w:tc>
        <w:tc>
          <w:tcPr>
            <w:tcW w:w="1502" w:type="dxa"/>
          </w:tcPr>
          <w:p w14:paraId="21F88BAA" w14:textId="77777777" w:rsidR="00CD1250" w:rsidRDefault="00CD1250" w:rsidP="00CD1250">
            <w:pPr>
              <w:jc w:val="center"/>
            </w:pPr>
          </w:p>
          <w:p w14:paraId="5712B320" w14:textId="1F3EE3F9" w:rsidR="00CD1250" w:rsidRDefault="00426E42" w:rsidP="00CD1250">
            <w:pPr>
              <w:jc w:val="center"/>
            </w:pPr>
            <w:r>
              <w:t>£</w:t>
            </w:r>
            <w:r w:rsidR="00E15A79">
              <w:t>1790</w:t>
            </w:r>
          </w:p>
        </w:tc>
        <w:tc>
          <w:tcPr>
            <w:tcW w:w="7617" w:type="dxa"/>
          </w:tcPr>
          <w:p w14:paraId="036EBF93" w14:textId="77777777" w:rsidR="00CD1250" w:rsidRDefault="00426E42" w:rsidP="00CD1250">
            <w:pPr>
              <w:pStyle w:val="TableParagraph"/>
              <w:ind w:left="102" w:right="369"/>
            </w:pPr>
            <w:r>
              <w:t xml:space="preserve">Children </w:t>
            </w:r>
            <w:proofErr w:type="gramStart"/>
            <w:r>
              <w:t>are able to</w:t>
            </w:r>
            <w:proofErr w:type="gramEnd"/>
            <w:r>
              <w:t xml:space="preserve"> experience a vast range of different sp</w:t>
            </w:r>
            <w:r w:rsidR="00FA0DCC">
              <w:t>ort that helps them with their p</w:t>
            </w:r>
            <w:r>
              <w:t>hysi</w:t>
            </w:r>
            <w:r w:rsidR="00FA0DCC">
              <w:t>cal development, co-ordination, t</w:t>
            </w:r>
            <w:r>
              <w:t>eam awareness and also encourage them to consider sports not necessarily accessible to them currently.</w:t>
            </w:r>
          </w:p>
        </w:tc>
      </w:tr>
    </w:tbl>
    <w:p w14:paraId="2CD3416F" w14:textId="77777777" w:rsidR="005A26BD" w:rsidRDefault="005A26BD"/>
    <w:sectPr w:rsidR="005A26BD" w:rsidSect="00393FC1">
      <w:headerReference w:type="default" r:id="rId8"/>
      <w:pgSz w:w="16838" w:h="11906" w:orient="landscape"/>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117F" w14:textId="77777777" w:rsidR="00973528" w:rsidRDefault="00973528" w:rsidP="00393FC1">
      <w:r>
        <w:separator/>
      </w:r>
    </w:p>
  </w:endnote>
  <w:endnote w:type="continuationSeparator" w:id="0">
    <w:p w14:paraId="4A2D3B42" w14:textId="77777777" w:rsidR="00973528" w:rsidRDefault="00973528" w:rsidP="0039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4069" w14:textId="77777777" w:rsidR="00973528" w:rsidRDefault="00973528" w:rsidP="00393FC1">
      <w:r>
        <w:separator/>
      </w:r>
    </w:p>
  </w:footnote>
  <w:footnote w:type="continuationSeparator" w:id="0">
    <w:p w14:paraId="14B7BA4A" w14:textId="77777777" w:rsidR="00973528" w:rsidRDefault="00973528" w:rsidP="0039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ADED" w14:textId="77777777" w:rsidR="00393FC1" w:rsidRPr="00393FC1" w:rsidRDefault="00393FC1" w:rsidP="00393FC1">
    <w:pPr>
      <w:pStyle w:val="Header"/>
      <w:jc w:val="right"/>
      <w:rPr>
        <w:rFonts w:ascii="Segoe UI Semilight" w:hAnsi="Segoe UI Semilight" w:cs="Segoe UI Semilight"/>
        <w:b/>
        <w:sz w:val="28"/>
        <w:szCs w:val="28"/>
      </w:rPr>
    </w:pPr>
    <w:r w:rsidRPr="00393FC1">
      <w:rPr>
        <w:b/>
        <w:noProof/>
        <w:sz w:val="28"/>
        <w:szCs w:val="28"/>
        <w:lang w:val="en-GB" w:eastAsia="en-GB"/>
      </w:rPr>
      <w:drawing>
        <wp:anchor distT="0" distB="0" distL="114300" distR="114300" simplePos="0" relativeHeight="251658240" behindDoc="0" locked="0" layoutInCell="1" allowOverlap="1" wp14:anchorId="7E017398" wp14:editId="18BC8BCD">
          <wp:simplePos x="0" y="0"/>
          <wp:positionH relativeFrom="margin">
            <wp:align>left</wp:align>
          </wp:positionH>
          <wp:positionV relativeFrom="margin">
            <wp:posOffset>-561975</wp:posOffset>
          </wp:positionV>
          <wp:extent cx="724193" cy="505029"/>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as of 11th May smallest.png"/>
                  <pic:cNvPicPr/>
                </pic:nvPicPr>
                <pic:blipFill>
                  <a:blip r:embed="rId1">
                    <a:extLst>
                      <a:ext uri="{28A0092B-C50C-407E-A947-70E740481C1C}">
                        <a14:useLocalDpi xmlns:a14="http://schemas.microsoft.com/office/drawing/2010/main" val="0"/>
                      </a:ext>
                    </a:extLst>
                  </a:blip>
                  <a:stretch>
                    <a:fillRect/>
                  </a:stretch>
                </pic:blipFill>
                <pic:spPr>
                  <a:xfrm>
                    <a:off x="0" y="0"/>
                    <a:ext cx="724193" cy="505029"/>
                  </a:xfrm>
                  <a:prstGeom prst="rect">
                    <a:avLst/>
                  </a:prstGeom>
                </pic:spPr>
              </pic:pic>
            </a:graphicData>
          </a:graphic>
        </wp:anchor>
      </w:drawing>
    </w:r>
    <w:r w:rsidRPr="00393FC1">
      <w:rPr>
        <w:rFonts w:ascii="Segoe UI Semilight" w:hAnsi="Segoe UI Semilight" w:cs="Segoe UI Semilight"/>
        <w:b/>
        <w:sz w:val="28"/>
        <w:szCs w:val="28"/>
      </w:rPr>
      <w:t>Limes Farm Infant School and Nursery</w:t>
    </w:r>
  </w:p>
  <w:p w14:paraId="667D2D0B" w14:textId="77777777" w:rsidR="00393FC1" w:rsidRPr="00393FC1" w:rsidRDefault="00393FC1" w:rsidP="00393FC1">
    <w:pPr>
      <w:pStyle w:val="Header"/>
      <w:jc w:val="right"/>
      <w:rPr>
        <w:rFonts w:ascii="Segoe UI Semilight" w:hAnsi="Segoe UI Semilight" w:cs="Segoe UI Semilight"/>
        <w:sz w:val="28"/>
        <w:szCs w:val="28"/>
      </w:rPr>
    </w:pPr>
    <w:r w:rsidRPr="00393FC1">
      <w:rPr>
        <w:rFonts w:ascii="Segoe UI Semilight" w:hAnsi="Segoe UI Semilight" w:cs="Segoe UI Semilight"/>
        <w:b/>
        <w:color w:val="0D0D0D"/>
        <w:sz w:val="28"/>
        <w:szCs w:val="28"/>
      </w:rPr>
      <w:t>PE and Sports</w:t>
    </w:r>
    <w:r w:rsidR="003743B6">
      <w:rPr>
        <w:rFonts w:ascii="Segoe UI Semilight" w:hAnsi="Segoe UI Semilight" w:cs="Segoe UI Semilight"/>
        <w:b/>
        <w:color w:val="0D0D0D"/>
        <w:sz w:val="28"/>
        <w:szCs w:val="28"/>
      </w:rPr>
      <w:t xml:space="preserve"> Premium Strategy Statement  2020</w:t>
    </w:r>
    <w:r w:rsidR="00290F8C">
      <w:rPr>
        <w:rFonts w:ascii="Segoe UI Semilight" w:hAnsi="Segoe UI Semilight" w:cs="Segoe UI Semilight"/>
        <w:b/>
        <w:color w:val="0D0D0D"/>
        <w:sz w:val="28"/>
        <w:szCs w:val="28"/>
      </w:rPr>
      <w:t>-</w:t>
    </w:r>
    <w:r w:rsidR="003743B6">
      <w:rPr>
        <w:rFonts w:ascii="Segoe UI Semilight" w:hAnsi="Segoe UI Semilight" w:cs="Segoe UI Semilight"/>
        <w:b/>
        <w:color w:val="0D0D0D"/>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F6689"/>
    <w:multiLevelType w:val="hybridMultilevel"/>
    <w:tmpl w:val="AC606784"/>
    <w:lvl w:ilvl="0" w:tplc="ACEED508">
      <w:numFmt w:val="bullet"/>
      <w:lvlText w:val=""/>
      <w:lvlJc w:val="left"/>
      <w:pPr>
        <w:ind w:left="802" w:hanging="363"/>
      </w:pPr>
      <w:rPr>
        <w:rFonts w:ascii="Symbol" w:eastAsia="Symbol" w:hAnsi="Symbol" w:cs="Symbol" w:hint="default"/>
        <w:w w:val="60"/>
        <w:sz w:val="22"/>
        <w:szCs w:val="22"/>
      </w:rPr>
    </w:lvl>
    <w:lvl w:ilvl="1" w:tplc="267CEA70">
      <w:numFmt w:val="bullet"/>
      <w:lvlText w:val="•"/>
      <w:lvlJc w:val="left"/>
      <w:pPr>
        <w:ind w:left="2278" w:hanging="363"/>
      </w:pPr>
      <w:rPr>
        <w:rFonts w:hint="default"/>
      </w:rPr>
    </w:lvl>
    <w:lvl w:ilvl="2" w:tplc="817CEA3C">
      <w:numFmt w:val="bullet"/>
      <w:lvlText w:val="•"/>
      <w:lvlJc w:val="left"/>
      <w:pPr>
        <w:ind w:left="3756" w:hanging="363"/>
      </w:pPr>
      <w:rPr>
        <w:rFonts w:hint="default"/>
      </w:rPr>
    </w:lvl>
    <w:lvl w:ilvl="3" w:tplc="86E0DCCA">
      <w:numFmt w:val="bullet"/>
      <w:lvlText w:val="•"/>
      <w:lvlJc w:val="left"/>
      <w:pPr>
        <w:ind w:left="5234" w:hanging="363"/>
      </w:pPr>
      <w:rPr>
        <w:rFonts w:hint="default"/>
      </w:rPr>
    </w:lvl>
    <w:lvl w:ilvl="4" w:tplc="EB9A2228">
      <w:numFmt w:val="bullet"/>
      <w:lvlText w:val="•"/>
      <w:lvlJc w:val="left"/>
      <w:pPr>
        <w:ind w:left="6712" w:hanging="363"/>
      </w:pPr>
      <w:rPr>
        <w:rFonts w:hint="default"/>
      </w:rPr>
    </w:lvl>
    <w:lvl w:ilvl="5" w:tplc="C4E295F0">
      <w:numFmt w:val="bullet"/>
      <w:lvlText w:val="•"/>
      <w:lvlJc w:val="left"/>
      <w:pPr>
        <w:ind w:left="8190" w:hanging="363"/>
      </w:pPr>
      <w:rPr>
        <w:rFonts w:hint="default"/>
      </w:rPr>
    </w:lvl>
    <w:lvl w:ilvl="6" w:tplc="9F0AD9FE">
      <w:numFmt w:val="bullet"/>
      <w:lvlText w:val="•"/>
      <w:lvlJc w:val="left"/>
      <w:pPr>
        <w:ind w:left="9668" w:hanging="363"/>
      </w:pPr>
      <w:rPr>
        <w:rFonts w:hint="default"/>
      </w:rPr>
    </w:lvl>
    <w:lvl w:ilvl="7" w:tplc="A47CD148">
      <w:numFmt w:val="bullet"/>
      <w:lvlText w:val="•"/>
      <w:lvlJc w:val="left"/>
      <w:pPr>
        <w:ind w:left="11146" w:hanging="363"/>
      </w:pPr>
      <w:rPr>
        <w:rFonts w:hint="default"/>
      </w:rPr>
    </w:lvl>
    <w:lvl w:ilvl="8" w:tplc="2CC4C0C2">
      <w:numFmt w:val="bullet"/>
      <w:lvlText w:val="•"/>
      <w:lvlJc w:val="left"/>
      <w:pPr>
        <w:ind w:left="12624"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FC1"/>
    <w:rsid w:val="000A1756"/>
    <w:rsid w:val="00182BFC"/>
    <w:rsid w:val="00260243"/>
    <w:rsid w:val="00290F49"/>
    <w:rsid w:val="00290F8C"/>
    <w:rsid w:val="00292C07"/>
    <w:rsid w:val="002E076B"/>
    <w:rsid w:val="002E5654"/>
    <w:rsid w:val="003743B6"/>
    <w:rsid w:val="00393FC1"/>
    <w:rsid w:val="003D59A5"/>
    <w:rsid w:val="00426E42"/>
    <w:rsid w:val="00440DF4"/>
    <w:rsid w:val="004F0871"/>
    <w:rsid w:val="004F5E83"/>
    <w:rsid w:val="00545B51"/>
    <w:rsid w:val="005A26BD"/>
    <w:rsid w:val="00704065"/>
    <w:rsid w:val="007128CE"/>
    <w:rsid w:val="0073687C"/>
    <w:rsid w:val="007927CB"/>
    <w:rsid w:val="00822BEE"/>
    <w:rsid w:val="008651B1"/>
    <w:rsid w:val="008E2688"/>
    <w:rsid w:val="008F3163"/>
    <w:rsid w:val="00973528"/>
    <w:rsid w:val="00982EA7"/>
    <w:rsid w:val="00AE557A"/>
    <w:rsid w:val="00AF7036"/>
    <w:rsid w:val="00B13A16"/>
    <w:rsid w:val="00B141DC"/>
    <w:rsid w:val="00BE4C17"/>
    <w:rsid w:val="00C06786"/>
    <w:rsid w:val="00C522FF"/>
    <w:rsid w:val="00C64FDB"/>
    <w:rsid w:val="00CC6227"/>
    <w:rsid w:val="00CD1250"/>
    <w:rsid w:val="00D5578E"/>
    <w:rsid w:val="00E000E9"/>
    <w:rsid w:val="00E15A79"/>
    <w:rsid w:val="00EB1F3F"/>
    <w:rsid w:val="00EB67A0"/>
    <w:rsid w:val="00F13B40"/>
    <w:rsid w:val="00FA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A17F"/>
  <w15:docId w15:val="{734EF616-3AF3-449C-A24E-34455700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3FC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C1"/>
    <w:pPr>
      <w:tabs>
        <w:tab w:val="center" w:pos="4513"/>
        <w:tab w:val="right" w:pos="9026"/>
      </w:tabs>
    </w:pPr>
  </w:style>
  <w:style w:type="character" w:customStyle="1" w:styleId="HeaderChar">
    <w:name w:val="Header Char"/>
    <w:basedOn w:val="DefaultParagraphFont"/>
    <w:link w:val="Header"/>
    <w:uiPriority w:val="99"/>
    <w:rsid w:val="00393FC1"/>
  </w:style>
  <w:style w:type="paragraph" w:styleId="Footer">
    <w:name w:val="footer"/>
    <w:basedOn w:val="Normal"/>
    <w:link w:val="FooterChar"/>
    <w:uiPriority w:val="99"/>
    <w:unhideWhenUsed/>
    <w:rsid w:val="00393FC1"/>
    <w:pPr>
      <w:tabs>
        <w:tab w:val="center" w:pos="4513"/>
        <w:tab w:val="right" w:pos="9026"/>
      </w:tabs>
    </w:pPr>
  </w:style>
  <w:style w:type="character" w:customStyle="1" w:styleId="FooterChar">
    <w:name w:val="Footer Char"/>
    <w:basedOn w:val="DefaultParagraphFont"/>
    <w:link w:val="Footer"/>
    <w:uiPriority w:val="99"/>
    <w:rsid w:val="00393FC1"/>
  </w:style>
  <w:style w:type="paragraph" w:customStyle="1" w:styleId="TableParagraph">
    <w:name w:val="Table Paragraph"/>
    <w:basedOn w:val="Normal"/>
    <w:uiPriority w:val="1"/>
    <w:qFormat/>
    <w:rsid w:val="00393FC1"/>
  </w:style>
  <w:style w:type="paragraph" w:styleId="BodyText">
    <w:name w:val="Body Text"/>
    <w:basedOn w:val="Normal"/>
    <w:link w:val="BodyTextChar"/>
    <w:uiPriority w:val="1"/>
    <w:qFormat/>
    <w:rsid w:val="00393FC1"/>
  </w:style>
  <w:style w:type="character" w:customStyle="1" w:styleId="BodyTextChar">
    <w:name w:val="Body Text Char"/>
    <w:basedOn w:val="DefaultParagraphFont"/>
    <w:link w:val="BodyText"/>
    <w:uiPriority w:val="1"/>
    <w:rsid w:val="00393FC1"/>
    <w:rPr>
      <w:rFonts w:ascii="Arial" w:eastAsia="Arial" w:hAnsi="Arial" w:cs="Arial"/>
      <w:lang w:val="en-US"/>
    </w:rPr>
  </w:style>
  <w:style w:type="paragraph" w:styleId="ListParagraph">
    <w:name w:val="List Paragraph"/>
    <w:basedOn w:val="Normal"/>
    <w:uiPriority w:val="1"/>
    <w:qFormat/>
    <w:rsid w:val="00393FC1"/>
    <w:pPr>
      <w:spacing w:line="269" w:lineRule="exact"/>
      <w:ind w:left="802"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058">
      <w:bodyDiv w:val="1"/>
      <w:marLeft w:val="0"/>
      <w:marRight w:val="0"/>
      <w:marTop w:val="0"/>
      <w:marBottom w:val="0"/>
      <w:divBdr>
        <w:top w:val="none" w:sz="0" w:space="0" w:color="auto"/>
        <w:left w:val="none" w:sz="0" w:space="0" w:color="auto"/>
        <w:bottom w:val="none" w:sz="0" w:space="0" w:color="auto"/>
        <w:right w:val="none" w:sz="0" w:space="0" w:color="auto"/>
      </w:divBdr>
    </w:div>
    <w:div w:id="1444305631">
      <w:bodyDiv w:val="1"/>
      <w:marLeft w:val="0"/>
      <w:marRight w:val="0"/>
      <w:marTop w:val="0"/>
      <w:marBottom w:val="0"/>
      <w:divBdr>
        <w:top w:val="none" w:sz="0" w:space="0" w:color="auto"/>
        <w:left w:val="none" w:sz="0" w:space="0" w:color="auto"/>
        <w:bottom w:val="none" w:sz="0" w:space="0" w:color="auto"/>
        <w:right w:val="none" w:sz="0" w:space="0" w:color="auto"/>
      </w:divBdr>
    </w:div>
    <w:div w:id="1669215085">
      <w:bodyDiv w:val="1"/>
      <w:marLeft w:val="0"/>
      <w:marRight w:val="0"/>
      <w:marTop w:val="0"/>
      <w:marBottom w:val="0"/>
      <w:divBdr>
        <w:top w:val="none" w:sz="0" w:space="0" w:color="auto"/>
        <w:left w:val="none" w:sz="0" w:space="0" w:color="auto"/>
        <w:bottom w:val="none" w:sz="0" w:space="0" w:color="auto"/>
        <w:right w:val="none" w:sz="0" w:space="0" w:color="auto"/>
      </w:divBdr>
    </w:div>
    <w:div w:id="19881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Limes Farm Infant School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AGrisley</dc:creator>
  <cp:lastModifiedBy>Chigwell Row Head Email</cp:lastModifiedBy>
  <cp:revision>2</cp:revision>
  <cp:lastPrinted>2017-07-27T14:54:00Z</cp:lastPrinted>
  <dcterms:created xsi:type="dcterms:W3CDTF">2021-11-18T13:58:00Z</dcterms:created>
  <dcterms:modified xsi:type="dcterms:W3CDTF">2021-11-18T13:58:00Z</dcterms:modified>
</cp:coreProperties>
</file>